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F" w:rsidRPr="008F71BF" w:rsidRDefault="008F71BF" w:rsidP="00EB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3D20CBF" wp14:editId="6C3FCDCE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BF" w:rsidRPr="008F71BF" w:rsidRDefault="006000B7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28.12.2021</w:t>
      </w:r>
      <w:r w:rsidR="00E72D2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8F71BF"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EB3C9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259</w:t>
      </w:r>
    </w:p>
    <w:p w:rsidR="008F71BF" w:rsidRPr="008F71BF" w:rsidRDefault="008F71BF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8F71BF" w:rsidRPr="008F71BF" w:rsidRDefault="008F71BF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8F71BF" w:rsidRPr="008F71BF" w:rsidRDefault="008F71BF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8F71BF" w:rsidRPr="008F71BF" w:rsidRDefault="008F71BF" w:rsidP="008F71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8F71BF" w:rsidRPr="008F71BF" w:rsidRDefault="008F71BF" w:rsidP="00E72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168" w:rsidRDefault="008F71BF" w:rsidP="004461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446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 итогах уборочных работ на территории Братского района и о работе сельхозпроизводителей </w:t>
      </w:r>
      <w:r w:rsidR="002C36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bookmarkStart w:id="0" w:name="_GoBack"/>
      <w:bookmarkEnd w:id="0"/>
      <w:r w:rsidR="00446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ратского района в 2021 году</w:t>
      </w:r>
    </w:p>
    <w:p w:rsidR="000B59A0" w:rsidRDefault="000B59A0" w:rsidP="000B5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71BF" w:rsidRPr="00446168" w:rsidRDefault="008F71BF" w:rsidP="0044616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 w:rsidR="00AB4846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отдела </w:t>
      </w:r>
      <w:r w:rsidR="0044616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хозяйства </w:t>
      </w:r>
      <w:r w:rsidR="00AB4846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муниципального образования «Братский район» </w:t>
      </w:r>
      <w:r w:rsidR="00446168">
        <w:rPr>
          <w:rFonts w:ascii="Arial" w:eastAsia="Times New Roman" w:hAnsi="Arial" w:cs="Arial"/>
          <w:sz w:val="24"/>
          <w:szCs w:val="24"/>
          <w:lang w:eastAsia="ru-RU"/>
        </w:rPr>
        <w:t>Марии Михайловны Антипиной</w:t>
      </w:r>
      <w:r w:rsidRPr="008F71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616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46168" w:rsidRPr="00446168">
        <w:rPr>
          <w:rFonts w:ascii="Arial" w:eastAsia="Times New Roman" w:hAnsi="Arial" w:cs="Arial"/>
          <w:bCs/>
          <w:sz w:val="24"/>
          <w:szCs w:val="24"/>
          <w:lang w:eastAsia="ru-RU"/>
        </w:rPr>
        <w:t>б итогах уборочных работ на территории Братского района и о работе сельхозпроизводителей братского района в 2021 году</w:t>
      </w:r>
      <w:r w:rsidRPr="008F71B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F71BF">
        <w:rPr>
          <w:rFonts w:ascii="Arial" w:eastAsia="Calibri" w:hAnsi="Arial" w:cs="Arial"/>
          <w:sz w:val="24"/>
          <w:szCs w:val="24"/>
        </w:rPr>
        <w:t xml:space="preserve">руководствуясь статьями 30, </w:t>
      </w:r>
      <w:r w:rsidR="00446168">
        <w:rPr>
          <w:rFonts w:ascii="Arial" w:eastAsia="Calibri" w:hAnsi="Arial" w:cs="Arial"/>
          <w:sz w:val="24"/>
          <w:szCs w:val="24"/>
        </w:rPr>
        <w:t xml:space="preserve">33, </w:t>
      </w:r>
      <w:r w:rsidRPr="008F71BF">
        <w:rPr>
          <w:rFonts w:ascii="Arial" w:eastAsia="Calibri" w:hAnsi="Arial" w:cs="Arial"/>
          <w:sz w:val="24"/>
          <w:szCs w:val="24"/>
        </w:rPr>
        <w:t>46 Устава муниципального образования «Братски</w:t>
      </w:r>
      <w:r>
        <w:rPr>
          <w:rFonts w:ascii="Arial" w:eastAsia="Calibri" w:hAnsi="Arial" w:cs="Arial"/>
          <w:sz w:val="24"/>
          <w:szCs w:val="24"/>
        </w:rPr>
        <w:t>й район», Дума Братского района</w:t>
      </w:r>
    </w:p>
    <w:p w:rsidR="008F71BF" w:rsidRPr="008F71BF" w:rsidRDefault="008F71BF" w:rsidP="008F71BF">
      <w:pPr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8F71BF" w:rsidRPr="008F71BF" w:rsidRDefault="008F71BF" w:rsidP="008F71BF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8F71BF" w:rsidRPr="008F71BF" w:rsidRDefault="008F71BF" w:rsidP="008F71BF">
      <w:pPr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8F71BF" w:rsidRPr="00EB3C93" w:rsidRDefault="008F71BF" w:rsidP="00BA0F7B">
      <w:pPr>
        <w:pStyle w:val="a9"/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EB3C93">
        <w:rPr>
          <w:rFonts w:ascii="Arial" w:eastAsia="Calibri" w:hAnsi="Arial" w:cs="Arial"/>
          <w:sz w:val="24"/>
          <w:szCs w:val="24"/>
        </w:rPr>
        <w:t>Информацию</w:t>
      </w:r>
      <w:r w:rsidR="00446168">
        <w:rPr>
          <w:rFonts w:ascii="Arial" w:eastAsia="Calibri" w:hAnsi="Arial" w:cs="Arial"/>
          <w:sz w:val="24"/>
          <w:szCs w:val="24"/>
        </w:rPr>
        <w:t xml:space="preserve"> </w:t>
      </w:r>
      <w:r w:rsidR="00446168">
        <w:rPr>
          <w:rFonts w:ascii="Arial" w:eastAsia="Times New Roman" w:hAnsi="Arial" w:cs="Arial"/>
          <w:sz w:val="24"/>
          <w:szCs w:val="24"/>
          <w:lang w:eastAsia="ru-RU"/>
        </w:rPr>
        <w:t>начальника отдела сельского хозяйства администрации муниципального образования «Братский район» Марии Михайловны Антипиной</w:t>
      </w:r>
      <w:r w:rsidR="00446168" w:rsidRPr="008F71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616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46168" w:rsidRPr="00446168">
        <w:rPr>
          <w:rFonts w:ascii="Arial" w:eastAsia="Times New Roman" w:hAnsi="Arial" w:cs="Arial"/>
          <w:bCs/>
          <w:sz w:val="24"/>
          <w:szCs w:val="24"/>
          <w:lang w:eastAsia="ru-RU"/>
        </w:rPr>
        <w:t>б итогах уборочных работ на территории Братского района и о работе сельхозпроизводителей братского района в 2021 году</w:t>
      </w:r>
      <w:r w:rsidRPr="00EB3C93">
        <w:rPr>
          <w:rFonts w:ascii="Arial" w:eastAsia="Times New Roman" w:hAnsi="Arial" w:cs="Arial"/>
          <w:sz w:val="24"/>
          <w:szCs w:val="24"/>
        </w:rPr>
        <w:t xml:space="preserve"> принять к сведению (прилагается).</w:t>
      </w:r>
    </w:p>
    <w:p w:rsidR="008F71BF" w:rsidRPr="00E72D28" w:rsidRDefault="008F71BF" w:rsidP="00BA0F7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F7B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BA0F7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A0F7B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на официальном сайте </w:t>
      </w:r>
      <w:r w:rsidR="005D136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A0F7B">
        <w:rPr>
          <w:rFonts w:ascii="Arial" w:eastAsia="Times New Roman" w:hAnsi="Arial" w:cs="Arial"/>
          <w:sz w:val="24"/>
          <w:szCs w:val="24"/>
          <w:lang w:eastAsia="ru-RU"/>
        </w:rPr>
        <w:t>дминистрации муниципального образования «Братский район» в разделе «Дума»</w:t>
      </w:r>
      <w:r w:rsidRPr="00E72D2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9" w:history="1"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bratsk</w:t>
        </w:r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raion</w:t>
        </w:r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71614D" w:rsidRPr="00E72D2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E72D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614D" w:rsidRDefault="0071614D" w:rsidP="008F71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4D" w:rsidRDefault="0071614D" w:rsidP="008F71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4D" w:rsidRPr="008F71BF" w:rsidRDefault="0071614D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71614D" w:rsidRDefault="0071614D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71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</w:t>
      </w:r>
      <w:r w:rsidR="006567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F71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6000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BA0F7B"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0B7" w:rsidRDefault="006000B7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0B7" w:rsidRDefault="006000B7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Default="00AB4846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4846" w:rsidRPr="005D1367" w:rsidRDefault="00AB4846" w:rsidP="00AB4846">
      <w:pPr>
        <w:pStyle w:val="a8"/>
        <w:jc w:val="right"/>
        <w:rPr>
          <w:rFonts w:ascii="Arial" w:hAnsi="Arial" w:cs="Arial"/>
          <w:sz w:val="24"/>
          <w:szCs w:val="24"/>
        </w:rPr>
      </w:pPr>
      <w:r w:rsidRPr="005D136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B4846" w:rsidRPr="005D1367" w:rsidRDefault="00AB4846" w:rsidP="00AB4846">
      <w:pPr>
        <w:pStyle w:val="a8"/>
        <w:jc w:val="right"/>
        <w:rPr>
          <w:rFonts w:ascii="Arial" w:hAnsi="Arial" w:cs="Arial"/>
          <w:sz w:val="24"/>
          <w:szCs w:val="24"/>
        </w:rPr>
      </w:pPr>
      <w:r w:rsidRPr="005D1367">
        <w:rPr>
          <w:rFonts w:ascii="Arial" w:hAnsi="Arial" w:cs="Arial"/>
          <w:sz w:val="24"/>
          <w:szCs w:val="24"/>
        </w:rPr>
        <w:t xml:space="preserve">к решению Думы Братского района </w:t>
      </w:r>
    </w:p>
    <w:p w:rsidR="00AB4846" w:rsidRPr="005D1367" w:rsidRDefault="00AB4846" w:rsidP="00AB4846">
      <w:pPr>
        <w:pStyle w:val="a8"/>
        <w:jc w:val="right"/>
        <w:rPr>
          <w:rFonts w:ascii="Arial" w:hAnsi="Arial" w:cs="Arial"/>
          <w:sz w:val="24"/>
          <w:szCs w:val="24"/>
        </w:rPr>
      </w:pPr>
      <w:r w:rsidRPr="005D1367">
        <w:rPr>
          <w:rFonts w:ascii="Arial" w:hAnsi="Arial" w:cs="Arial"/>
          <w:sz w:val="24"/>
          <w:szCs w:val="24"/>
        </w:rPr>
        <w:t xml:space="preserve">от </w:t>
      </w:r>
      <w:r w:rsidR="006000B7">
        <w:rPr>
          <w:rFonts w:ascii="Arial" w:hAnsi="Arial" w:cs="Arial"/>
          <w:sz w:val="24"/>
          <w:szCs w:val="24"/>
        </w:rPr>
        <w:t>28.12.2021</w:t>
      </w:r>
      <w:r w:rsidR="00E72D28" w:rsidRPr="005D1367">
        <w:rPr>
          <w:rFonts w:ascii="Arial" w:hAnsi="Arial" w:cs="Arial"/>
          <w:sz w:val="24"/>
          <w:szCs w:val="24"/>
        </w:rPr>
        <w:t xml:space="preserve"> </w:t>
      </w:r>
      <w:r w:rsidRPr="005D1367">
        <w:rPr>
          <w:rFonts w:ascii="Arial" w:hAnsi="Arial" w:cs="Arial"/>
          <w:sz w:val="24"/>
          <w:szCs w:val="24"/>
        </w:rPr>
        <w:t xml:space="preserve">года № </w:t>
      </w:r>
      <w:r w:rsidR="006000B7">
        <w:rPr>
          <w:rFonts w:ascii="Arial" w:hAnsi="Arial" w:cs="Arial"/>
          <w:sz w:val="24"/>
          <w:szCs w:val="24"/>
        </w:rPr>
        <w:t>259</w:t>
      </w:r>
    </w:p>
    <w:p w:rsidR="00AB4846" w:rsidRPr="005D1367" w:rsidRDefault="00AB4846" w:rsidP="00AB4846">
      <w:pPr>
        <w:pStyle w:val="a8"/>
        <w:jc w:val="right"/>
        <w:rPr>
          <w:rFonts w:ascii="Arial" w:hAnsi="Arial" w:cs="Arial"/>
          <w:b/>
          <w:sz w:val="24"/>
          <w:szCs w:val="24"/>
        </w:rPr>
      </w:pPr>
    </w:p>
    <w:p w:rsidR="00446168" w:rsidRDefault="00446168" w:rsidP="00446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168" w:rsidRPr="00446168" w:rsidRDefault="00446168" w:rsidP="004461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6168">
        <w:rPr>
          <w:rFonts w:ascii="Arial" w:eastAsia="Calibri" w:hAnsi="Arial" w:cs="Arial"/>
          <w:b/>
          <w:sz w:val="24"/>
          <w:szCs w:val="24"/>
        </w:rPr>
        <w:t>Об итогах уборочных работ на территории Братского района и о работе сельхозпроизводителей Братского района в 2021 году</w:t>
      </w:r>
    </w:p>
    <w:p w:rsidR="00446168" w:rsidRPr="00446168" w:rsidRDefault="00446168" w:rsidP="00446168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ru-RU"/>
        </w:rPr>
      </w:pP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В реестре </w:t>
      </w:r>
      <w:r w:rsidRPr="00446168">
        <w:rPr>
          <w:rFonts w:ascii="Arial" w:eastAsia="Calibri" w:hAnsi="Arial" w:cs="Arial"/>
          <w:sz w:val="24"/>
          <w:szCs w:val="24"/>
        </w:rPr>
        <w:t>товаропроизводителей района и области, занимающихся сельскохозяйственным производством по состоянию на 1.12.2021 года состоит 41 хозяйство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46168">
        <w:rPr>
          <w:rFonts w:ascii="Arial" w:eastAsia="Calibri" w:hAnsi="Arial" w:cs="Arial"/>
          <w:sz w:val="24"/>
          <w:szCs w:val="24"/>
        </w:rPr>
        <w:t>(46 хозяйств было в 2020 году), из них 34 крестьянских(фермерских) хозяйств, 5 организаций и 2 кооператива.</w:t>
      </w:r>
    </w:p>
    <w:p w:rsidR="00446168" w:rsidRPr="00446168" w:rsidRDefault="00446168" w:rsidP="0044616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Основой сельскохозяйственного производства, как растениеводства, так и животноводства, во все времена считалась земля. Многие годы объем обрабатываемых земель прирастал очень слабыми темпами. Земли многие годы зарастали и введение этих земель дело очень затратное. С введением субсидии «На введение пашни в оборот» дело сдвинулось с мертвой точки, земли сельскохозяйственного назначения стали разрабатываться и вводиться в оборот.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За счет субсидирования затрат по введению заброшенной пашни в оборот с 2017 года площадь используемых сельскохозяйственных угодий увеличилась на 6,2 тыс. га. Объемы введения пашни в оборот в районе признаны министерством сельского хозяйства области одними из самых высоких.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По состоянию на 1.12.2021 года по данным глав поселений из 103,6 тыс. гектар выявленных земель сельхозназначения (с учетом заморских поселков), используется 65,9 тыс. гектар или 63,6%. 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То, что касается земли – еще у многих хо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>зяйств не вся земля оформлена (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не отмежевана и не поставлена на кадастровый учет). В основном это земли поселений, на оформление которых у поселений нет денег, либо есть сложности по признанию невостребованными долей в судебном порядке, в связи с тем, что в списках неверно указаны данные владельца доли. 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Федеральное же министерство сельского хозяйства настаивает на том, чтобы субсидировать только те хозяйства, в которых все земли оформлены. Министерством сельского хозяйства Иркутской области уже в 2020 году дана установка, подготовить информационную базу по каждому сельскохозяйственному товаропроизводителю с указанием кадастровых номеров используемых участков. Есть опасения, что те, кто не сможет оформить землю, могут выпасть из гос.поддержки.  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По объему посевных площадей район занимает 6 место из 25 районов области, уступая только Черемховскому, Куйтунскому, Аларскому, Тулунскому, Боханскому и Усольскому районам. В 2021 году район увеличил посевные площади на 5% по сравнению с 2020 годом.</w:t>
      </w:r>
    </w:p>
    <w:p w:rsidR="00446168" w:rsidRPr="00446168" w:rsidRDefault="00446168" w:rsidP="0044616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6168">
        <w:rPr>
          <w:rFonts w:ascii="Arial" w:eastAsia="Calibri" w:hAnsi="Arial" w:cs="Arial"/>
          <w:sz w:val="24"/>
          <w:szCs w:val="24"/>
        </w:rPr>
        <w:t xml:space="preserve">Большая доля пашни, хозяйствами, входящими в реестр министерства сельского хозяйства Иркутской области, используется под посев зерновых и зернобобовых культур. </w:t>
      </w:r>
    </w:p>
    <w:p w:rsidR="00446168" w:rsidRPr="00446168" w:rsidRDefault="00446168" w:rsidP="0044616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sz w:val="24"/>
          <w:szCs w:val="24"/>
        </w:rPr>
        <w:t>В 2021 году под з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ерновые и зернобобовые культуры   сельскохозяйственными товаропроизводителями, входящими в реестр министерства сельского хозяйства Иркутской области, было занято – 16,2 тыс.га в Братском районе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(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в 2020 году 18,1 тыс.га) и 4,2 тыс.га в Тулунском районе (ООО «Рассвет» - 3,4 тыс.га, ИП ГКФХ Комаров А.Т. – 0,8 тыс.га) ). Это меньше, чем в 2020 году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(1,9 тыс.га), что вызвано замещением сева зерновых культур на технические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(рапс). Под пшеницей было занято 10,2 тыс.га, под овес 1,6 тыс.га, под ячмень 4,0 тыс.га, горох 0,4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тыс.га.  Вся площадь под зерновыми культурами засеяна только семенами соответствующими установленному ГОСТУ.  Кроме того элитных семян высеяно 1063,5 тн.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(961 тн-2020 год). Отдел сельского хозяйства в период подготовки семян тесно работает со 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lastRenderedPageBreak/>
        <w:t>специалистом Россельхозцентра в г.Братске, держит на постоянном контроле прохождение хозяйствами опробации семян. Если семена не подтверждаются сертификатами Россельхозцентра, хозяйство выпадает из субсидирования. Мы стараемся этого не допустить.</w:t>
      </w:r>
    </w:p>
    <w:p w:rsidR="00446168" w:rsidRPr="00446168" w:rsidRDefault="00446168" w:rsidP="0044616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Под техническими культурами использовалось 5,1 тыс. га, в т.ч. под рапс 5,0 тыс.га, под лен 0,1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тыс.га.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в Братском районе и 1,2 тыс. га в Тулунском районе ( ООО «Рассвет»). В 2021 году выращиванием рапса начали заниматься еще 2 хозяйства – ООО «Хлеборовб», которое раньше выращивало только зерновые культуры и ООО «Инвест».</w:t>
      </w:r>
    </w:p>
    <w:p w:rsidR="00446168" w:rsidRPr="00446168" w:rsidRDefault="00446168" w:rsidP="0044616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В этом году пробно, ООО «Рассвет» посеял и убрал 120 га льна. У хозяйства есть намерения и дальше продолжить выращивать лен.</w:t>
      </w:r>
    </w:p>
    <w:p w:rsidR="00446168" w:rsidRPr="00446168" w:rsidRDefault="00446168" w:rsidP="0044616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Выращиванием картофеля в районе занимаются 3 хозяйства. Картофель был посажен на площади 132,5 га. Овощи выращивают 2 хозяйства. Овощи были посеяны на 107 гектарах, в т.ч. капуста- 61гектар, свекла – 15 гектар, морковь- 16 гектар и прочие овощи на 16 гектарах.  Урожайность картофеля составила 131,7 ц\га (2020год -120,5 ц\га), урожайность овощей открытого грунта – 200,2 ц\га( 2020год – 191,4 ц\га). Эта урожайность считается не высокой. По урожайности картофеля район занимает 9 место в области из 21 района, по урожайности овощей- 5 место из 13 районов, занимающихся выращиванием овощей.</w:t>
      </w:r>
    </w:p>
    <w:p w:rsidR="00446168" w:rsidRPr="00446168" w:rsidRDefault="00446168" w:rsidP="0044616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Спрос на овощи в этом году повышенный и у наших фермеров остатки на складе овощей незначительные, до весны не хватит. Они держали минимальные цены, сколько могли. Но в ноябре вынуждены были поднимать цены, т.к. оптовики просто сметают продукцию. Сегодня у Поташова Н.И. на ярмарочной торговле в г.Вихоревка цены такие – картошка, капуста, лук- 35 руб\кг, морковь – 40 руб\кг, свекла – 30 руб\кг. </w:t>
      </w:r>
    </w:p>
    <w:p w:rsidR="00446168" w:rsidRPr="00446168" w:rsidRDefault="00446168" w:rsidP="0044616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Основным производителем картофеля и овощей в районе является ИП Поташов Н.И. И у него возникли проблемы с поливом овощей. В ходе посещения хозяйства с первым заместителей министра сельского хозяйства Иркутской области было принято решение, что Поташов Н.И. начнет оформление проекта по поливной системе, министерство обещало помочь в продвижении этого проекта. Но, это не быстрая процедура. Есть надежда, что в 2023 году у хозяйства начнет работать полив овощей, а значит хозяйство сможет увеличить площади под овощи и поднять урожайность.</w:t>
      </w:r>
    </w:p>
    <w:p w:rsidR="00446168" w:rsidRPr="00446168" w:rsidRDefault="00446168" w:rsidP="0044616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Площадь под кормовыми культурами составила – 7,7 тыс.га., в т.ч. однолетние травы – 1,9 тыс.га, многолетние травы – 5,8 тыс.га. </w:t>
      </w:r>
    </w:p>
    <w:p w:rsidR="00446168" w:rsidRPr="00446168" w:rsidRDefault="00446168" w:rsidP="0044616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На результаты урожая повлияли поздние сроки посевной кампании, связанные с погодными условиями весны 2021 года. Осенняя влага предыдушего года и весенние осадки привели к переувлажнению почвы, в итоге, посевная кампания закончилась на 2 недели позже обычных сроков. Это не могло не сказаться и на объемах полученного урожая и на качестве зерна.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Начало уборочной выдалось нелегким. Она проходила в экстремальных погодных условиях, переувлажнение почвы было настолько велико, что техника просто тонула на полях, и было опасение, что урожай будет потерян. Влажность зерна была запредельной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(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24-28 при норме 14). Но, аграрии приложили все усилия, чтобы максимально собрать урожай, как только погода позволила выйти в поле. Уборочная проходила практически в октябре месяце. Урожай был бы значительно больше, если бы не потери при уборке. С учетом потерь при уборке урожая из-за того, что зерно не успело в полной мере налиться, из-за высокой влажности и др. средняя урожайность по зерновым культурам составила 19,7 ц\га (20 ц\га в 2020г.). Валовый сбор зерна, в весе до подработки, составил – 41,7 тыс. тн (37,6 тыс.тн в 2020г.). В весе после подработки – 40 тыс.тн( 35,9 тыс.тн в 2020году).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Неплохой результат, если учесть, что из трех хозяйств, два сеяли рапс впервые, показали по посеву рапса. Средняя урожайность составила 25,2 ц/га (24,6 ц\га- 2020год). Из 11 районов области, занимающихся выращиванием технических 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lastRenderedPageBreak/>
        <w:t>культур, Братский район занимает 2 место по валовому сбору и урожайности технических культур.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color w:val="000000"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color w:val="000000"/>
          <w:sz w:val="24"/>
          <w:szCs w:val="24"/>
          <w:lang w:eastAsia="ru-RU"/>
        </w:rPr>
        <w:t>Не смотря на недостаток оборотных средств, и постоянный рост цен на удобрения, сельхозтоваропроизводители осуществляют покупку минеральных удобрений, что также является условием по получению субсидий на «несвязанную поддержку». В 2021 году внесено 1,8 тыс. тн удобрений, что больше 2020 года на 35%.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color w:val="000000"/>
          <w:sz w:val="24"/>
          <w:szCs w:val="24"/>
          <w:lang w:eastAsia="ru-RU"/>
        </w:rPr>
        <w:t>Большой проблемой в период уборочной кампании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является то, что только в 9 хозяйствах имеются зерносушильное оборудование и в условиях переувлажнения зерна очень трудно сохранить урожай без наличия такого оборудования. Покупка зерносушильного оборудования финансово недоступна средним и мелким хозяйствам из-за недостатка свободных оборотных средств. А, сложившийся в стране диспаритет цен на продукцию сельского хозяйства, только увеличивается. 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В связи с экстремальными условиями уборочной кампании и низким качеством убранного зерна, некоторые хозяйства решили не закладывать собственные семена под посев 2022 года. 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На 01.12.201 года план по засыпке семян выполнен на 69 %, засыпано     4316тн собственных семян. Ведется подработка семян до достижения необходимых показателей качества. Недостающие семена под посев 2022 года хозяйствам придется закупать в семеноводческих хозяйствах области.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В целях пожароопасной безопасности хозяйствами, входящими в реестр министерства сельского хозяйства Иркутской области, произведена опашка полей, прилегающих к лесным массивам и не только.  Протяженность опашки составила 1, 6 тыс. км, что больше плана на 91,5%.  Отдел сельского хозяйства, в период весенней и осенней опашки, ведет ежедневный оперативный мониторинг этого показателя, чтобы не допустить возгорания на полях сельхозтоваропроизводителей. Отсутствие возгораний является одним из показателей при субсидировании.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В 2021 году завершен проект по строительству мельницы в с.Кузнецовка, с возможностью переработки 14 тыс. тн зерна при выходе на максимальную мощность. У наших аграриев есть стимул увеличить объемы выращивания продовольственных сортов пшеницы. Свою работу мельница начала на зерне, выращенном в КФХ Комаров А.Т.  Начато производство муки высшего, 1 и 2 сортов, а также отрубей. Объем инвестиций по этому проекту составил почти 90 млн.руб, в т.ч. бюджетных средств – 40 млн.руб., остальное – собственные средства. Осуществление проекта стало возможным только благодаря совместным действиям инвестора, администрации района и министерства сельского хозяйства Иркутской области.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По итогам 9 месяцев 2021 года хозяйствами района входящими в реестр министерства сельского хозяйства Иркутской области получено 128,9 млн.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рублей бюджетных средств в форме субсидий, в т.ч. 99млн.руб. из областного бюджета. Основная доля полученных средств, приходится на возмещение затрат на приобретение техники по договорам лизинга и инвестиционным проектам. В 2021 году приобретено 7 зерноуборочных комбайнов, 1 кормоуборочный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ab/>
        <w:t xml:space="preserve"> комбайн,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4 трактора, 5 единиц зерноподрабатывающего оборудования, 7 единиц почвообрабатывающей техники и оборудования, 1 автомобиль. 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В 2021 году в условиях гранта «Начинающий фермер» в районе работало 7 КФХ. За период действия гранта инвестиции составили 15,6 млн.рублей, в т.ч. за счет бюджета- 13,3 млн.руб., собственных средств – 2,3 млн.руб. На эти средства приобретена техника, оборудование, скот. Кроме того, действовал грант «Семейная ферма» в хозяйстве КФХ Ахмедов Ш.Р. Сумма инвестиций составила – 17 млн.рублей, в т.ч. за счет бюджета – 10 млн.руб, собственные средства составили- 7 млн.руб. Приобретена техника и скот. К сожалению, в 2021 году никто из хозяйств района не участвовал в конкурсном отборе на получение грантов.</w:t>
      </w:r>
    </w:p>
    <w:p w:rsid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lastRenderedPageBreak/>
        <w:t>Отрасль животноводства в районе представлена молочным и мясным скотоводством.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6168">
        <w:rPr>
          <w:rFonts w:ascii="Arial" w:eastAsia="Calibri" w:hAnsi="Arial" w:cs="Arial"/>
          <w:sz w:val="24"/>
          <w:szCs w:val="24"/>
        </w:rPr>
        <w:t xml:space="preserve">Поголовье крупного рогатого скота, по хозяйствам входящим в реестр района и министерства сельского хозяйства Иркутской области, по </w:t>
      </w:r>
      <w:r>
        <w:rPr>
          <w:rFonts w:ascii="Arial" w:eastAsia="Calibri" w:hAnsi="Arial" w:cs="Arial"/>
          <w:sz w:val="24"/>
          <w:szCs w:val="24"/>
        </w:rPr>
        <w:t>отчету за 9 месяцев</w:t>
      </w:r>
      <w:r w:rsidRPr="00446168">
        <w:rPr>
          <w:rFonts w:ascii="Arial" w:eastAsia="Calibri" w:hAnsi="Arial" w:cs="Arial"/>
          <w:sz w:val="24"/>
          <w:szCs w:val="24"/>
        </w:rPr>
        <w:t xml:space="preserve"> 2021 года составило – 3227 голов (2020г. -  3152 головы), рост к уровню 2020г. незначительный- 2,4%. Большая доля в поголовье КРС составляет поголовье молочного направления- 2224 голов, мясное – 1003 головы.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highlight w:val="yellow"/>
          <w:lang w:eastAsia="ru-RU"/>
        </w:rPr>
      </w:pPr>
      <w:r w:rsidRPr="00446168">
        <w:rPr>
          <w:rFonts w:ascii="Arial" w:eastAsia="Calibri" w:hAnsi="Arial" w:cs="Arial"/>
          <w:sz w:val="24"/>
          <w:szCs w:val="24"/>
        </w:rPr>
        <w:t>За 9 месяцев 2021 года произведено 2,8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46168">
        <w:rPr>
          <w:rFonts w:ascii="Arial" w:eastAsia="Calibri" w:hAnsi="Arial" w:cs="Arial"/>
          <w:sz w:val="24"/>
          <w:szCs w:val="24"/>
        </w:rPr>
        <w:t>тыс. тн. молока, что меньше уровня 2020 года на 9,7%. Это обусловлено снижением продуктивности коров в ООО «Хозяйство Гелиос» и переводом поголовья в 2 КФХ с молочного направления, на мясное.</w:t>
      </w:r>
      <w:r w:rsidRPr="00446168"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  <w:t xml:space="preserve">   </w:t>
      </w:r>
      <w:r w:rsidRPr="00446168"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  <w:tab/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/>
          <w:bCs/>
          <w:iCs/>
          <w:sz w:val="24"/>
          <w:szCs w:val="24"/>
          <w:lang w:eastAsia="ru-RU"/>
        </w:rPr>
        <w:tab/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За 9 месяцев 2021года произведено мяса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(не считая мясо птицы), хозяйствами входящими в реестр, 287,1 тн, что больше уровня 2020 года за тот же период (на 14,7%. ).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>Необходимо отметить, что животноводством занимается все меньше и меньше хозяйств, т.к. это каждодневный труд, без выходных и праздников по уходу за животными. Кроме того, размеры субсидирования напрямую зависят от продуктивности скота, от результатов работы хозяйства. Наши хозяйства, в основной своей массе работают по старинке, отсюда и низкие результаты. Если на работу в поле, хоть и с большим трудом, но, еще получается найти работников, то найти рабочие руки на ферму, совсем беда. А своими силами фермеры просто не справляются.  Необходимо отметить, что из объемов района вышла ООО «Братская птицефабрика», которая давала около 4 тыс.тонн мяса птицы. Это огромный потерянный объем для района.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Тем не менее, у нас есть чем и кем гордиться. ООО «Хозяйство Гелиос» приняло участие в региональном этапе конкурса «100 лучших товаров России» в номинации «продовольственные товары» и вышло на федеральный этап конкурса. На федеральном этапе конкурса масло сливочное «Традиционное» и сервелат «Московский» получили награду «Вкус качества» и вошли в сотню лучших товаров России. Эта награда соответствует наилучшим свойствам качества и безопасности продукции. 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В КФХ Павлова Т.Н. появились маралы. 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Планирует открыть новое хозяйство, с мясным животноводством еще один фермер нашего района. 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446168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Подводя итог сказанному, хочу отметить, что вся работа мэра, администрации района и отдела сельского хозяйства направлена на то, чтобы помочь нашим фермерам максимально участвовать во всех программах по привлечению финансовых инвестиций для развития производства, облегчить им нагрузку по оформлению документов в цифровом формате, в соответствии с требованиями министерства, искать пути развития новых видов производства и вовлекать новые хозяйства в работу с администрацией и министерством. </w:t>
      </w: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</w:p>
    <w:p w:rsidR="00446168" w:rsidRPr="00446168" w:rsidRDefault="00446168" w:rsidP="00446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AB4846" w:rsidRPr="005D1367" w:rsidRDefault="00AB4846" w:rsidP="005D13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B4846" w:rsidRPr="005D1367" w:rsidSect="006000B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6D" w:rsidRDefault="000B596D" w:rsidP="005D1367">
      <w:pPr>
        <w:spacing w:after="0" w:line="240" w:lineRule="auto"/>
      </w:pPr>
      <w:r>
        <w:separator/>
      </w:r>
    </w:p>
  </w:endnote>
  <w:endnote w:type="continuationSeparator" w:id="0">
    <w:p w:rsidR="000B596D" w:rsidRDefault="000B596D" w:rsidP="005D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6D" w:rsidRDefault="000B596D" w:rsidP="005D1367">
      <w:pPr>
        <w:spacing w:after="0" w:line="240" w:lineRule="auto"/>
      </w:pPr>
      <w:r>
        <w:separator/>
      </w:r>
    </w:p>
  </w:footnote>
  <w:footnote w:type="continuationSeparator" w:id="0">
    <w:p w:rsidR="000B596D" w:rsidRDefault="000B596D" w:rsidP="005D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6C95"/>
    <w:multiLevelType w:val="hybridMultilevel"/>
    <w:tmpl w:val="85EC3864"/>
    <w:lvl w:ilvl="0" w:tplc="B72C9FFE">
      <w:start w:val="1"/>
      <w:numFmt w:val="decimal"/>
      <w:lvlText w:val="%1."/>
      <w:lvlJc w:val="left"/>
      <w:pPr>
        <w:ind w:left="159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9C579C0"/>
    <w:multiLevelType w:val="hybridMultilevel"/>
    <w:tmpl w:val="7710FB64"/>
    <w:lvl w:ilvl="0" w:tplc="5DFE45F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F37FE0"/>
    <w:multiLevelType w:val="hybridMultilevel"/>
    <w:tmpl w:val="CFACAADA"/>
    <w:lvl w:ilvl="0" w:tplc="6F744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F87"/>
    <w:rsid w:val="00004212"/>
    <w:rsid w:val="000A34D9"/>
    <w:rsid w:val="000B596D"/>
    <w:rsid w:val="000B59A0"/>
    <w:rsid w:val="000C5152"/>
    <w:rsid w:val="000E5A0C"/>
    <w:rsid w:val="00185AC5"/>
    <w:rsid w:val="00212BFA"/>
    <w:rsid w:val="00277C25"/>
    <w:rsid w:val="0028475A"/>
    <w:rsid w:val="002C0F87"/>
    <w:rsid w:val="002C36CD"/>
    <w:rsid w:val="002E64BC"/>
    <w:rsid w:val="003675AE"/>
    <w:rsid w:val="003B387E"/>
    <w:rsid w:val="00411E25"/>
    <w:rsid w:val="00446168"/>
    <w:rsid w:val="00466A7C"/>
    <w:rsid w:val="004B0C9D"/>
    <w:rsid w:val="004D0EA2"/>
    <w:rsid w:val="005839BF"/>
    <w:rsid w:val="005A4AC9"/>
    <w:rsid w:val="005B42D8"/>
    <w:rsid w:val="005D1367"/>
    <w:rsid w:val="006000B7"/>
    <w:rsid w:val="006567A4"/>
    <w:rsid w:val="006908E4"/>
    <w:rsid w:val="006F6DF7"/>
    <w:rsid w:val="0071614D"/>
    <w:rsid w:val="007166A3"/>
    <w:rsid w:val="00735A9E"/>
    <w:rsid w:val="00770FAB"/>
    <w:rsid w:val="00786B3B"/>
    <w:rsid w:val="007E4AD7"/>
    <w:rsid w:val="00817735"/>
    <w:rsid w:val="0088460E"/>
    <w:rsid w:val="008B27BC"/>
    <w:rsid w:val="008C3BC2"/>
    <w:rsid w:val="008F0436"/>
    <w:rsid w:val="008F71BF"/>
    <w:rsid w:val="00910F5D"/>
    <w:rsid w:val="00917E78"/>
    <w:rsid w:val="009201EA"/>
    <w:rsid w:val="0093472E"/>
    <w:rsid w:val="009F78E0"/>
    <w:rsid w:val="00A35ED2"/>
    <w:rsid w:val="00AB4846"/>
    <w:rsid w:val="00AB5F1E"/>
    <w:rsid w:val="00B51D43"/>
    <w:rsid w:val="00B5205F"/>
    <w:rsid w:val="00B6446B"/>
    <w:rsid w:val="00B7675F"/>
    <w:rsid w:val="00BA0F7B"/>
    <w:rsid w:val="00BB53B5"/>
    <w:rsid w:val="00BD056E"/>
    <w:rsid w:val="00BD51A5"/>
    <w:rsid w:val="00C72E06"/>
    <w:rsid w:val="00CD5AC8"/>
    <w:rsid w:val="00D7098D"/>
    <w:rsid w:val="00D8494B"/>
    <w:rsid w:val="00E72D28"/>
    <w:rsid w:val="00E96ED9"/>
    <w:rsid w:val="00EB3C93"/>
    <w:rsid w:val="00EC2950"/>
    <w:rsid w:val="00FA1DCA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574B3-2695-47C3-8810-5732A75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C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7C25"/>
    <w:rPr>
      <w:color w:val="800080"/>
      <w:u w:val="single"/>
    </w:rPr>
  </w:style>
  <w:style w:type="paragraph" w:customStyle="1" w:styleId="font5">
    <w:name w:val="font5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77C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77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77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7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7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27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125">
    <w:name w:val="xl125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7C25"/>
  </w:style>
  <w:style w:type="paragraph" w:customStyle="1" w:styleId="font7">
    <w:name w:val="font7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9">
    <w:name w:val="xl12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277C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77C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277C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277C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3">
    <w:name w:val="xl17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77C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206">
    <w:name w:val="xl206"/>
    <w:basedOn w:val="a"/>
    <w:rsid w:val="0027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207">
    <w:name w:val="xl207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1B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71BF"/>
    <w:pPr>
      <w:spacing w:after="0" w:line="240" w:lineRule="auto"/>
    </w:pPr>
  </w:style>
  <w:style w:type="paragraph" w:customStyle="1" w:styleId="xl209">
    <w:name w:val="xl20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3">
    <w:name w:val="xl21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14">
    <w:name w:val="xl21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16">
    <w:name w:val="xl216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ru-RU"/>
    </w:rPr>
  </w:style>
  <w:style w:type="paragraph" w:customStyle="1" w:styleId="xl217">
    <w:name w:val="xl217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8"/>
      <w:szCs w:val="28"/>
      <w:lang w:eastAsia="ru-RU"/>
    </w:rPr>
  </w:style>
  <w:style w:type="paragraph" w:customStyle="1" w:styleId="xl218">
    <w:name w:val="xl218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ru-RU"/>
    </w:rPr>
  </w:style>
  <w:style w:type="paragraph" w:customStyle="1" w:styleId="xl219">
    <w:name w:val="xl21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0">
    <w:name w:val="xl220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22">
    <w:name w:val="xl222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ru-RU"/>
    </w:rPr>
  </w:style>
  <w:style w:type="paragraph" w:customStyle="1" w:styleId="xl223">
    <w:name w:val="xl22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4">
    <w:name w:val="xl22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5">
    <w:name w:val="xl225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6">
    <w:name w:val="xl226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1">
    <w:name w:val="xl231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2">
    <w:name w:val="xl232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3">
    <w:name w:val="xl23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0">
    <w:name w:val="xl240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1">
    <w:name w:val="xl241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2">
    <w:name w:val="xl242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3">
    <w:name w:val="xl243"/>
    <w:basedOn w:val="a"/>
    <w:rsid w:val="006F6D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4">
    <w:name w:val="xl24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5">
    <w:name w:val="xl24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46">
    <w:name w:val="xl246"/>
    <w:basedOn w:val="a"/>
    <w:rsid w:val="006F6D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247">
    <w:name w:val="xl247"/>
    <w:basedOn w:val="a"/>
    <w:rsid w:val="006F6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9">
    <w:name w:val="xl24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0">
    <w:name w:val="xl250"/>
    <w:basedOn w:val="a"/>
    <w:rsid w:val="006F6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6F6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2">
    <w:name w:val="xl252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3">
    <w:name w:val="xl25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4">
    <w:name w:val="xl254"/>
    <w:basedOn w:val="a"/>
    <w:rsid w:val="006F6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6">
    <w:name w:val="xl256"/>
    <w:basedOn w:val="a"/>
    <w:rsid w:val="006F6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BA0F7B"/>
    <w:pPr>
      <w:ind w:left="720"/>
      <w:contextualSpacing/>
    </w:pPr>
  </w:style>
  <w:style w:type="paragraph" w:customStyle="1" w:styleId="Heading">
    <w:name w:val="Heading"/>
    <w:rsid w:val="00AB484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lang w:eastAsia="ru-RU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A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0"/>
    <w:uiPriority w:val="99"/>
    <w:rsid w:val="00AB4846"/>
  </w:style>
  <w:style w:type="paragraph" w:customStyle="1" w:styleId="11">
    <w:name w:val="Нижний колонтитул1"/>
    <w:basedOn w:val="a"/>
    <w:next w:val="ac"/>
    <w:link w:val="ad"/>
    <w:uiPriority w:val="99"/>
    <w:unhideWhenUsed/>
    <w:rsid w:val="00A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11"/>
    <w:uiPriority w:val="99"/>
    <w:rsid w:val="00AB4846"/>
  </w:style>
  <w:style w:type="paragraph" w:styleId="aa">
    <w:name w:val="header"/>
    <w:basedOn w:val="a"/>
    <w:link w:val="12"/>
    <w:uiPriority w:val="99"/>
    <w:unhideWhenUsed/>
    <w:rsid w:val="00A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a"/>
    <w:uiPriority w:val="99"/>
    <w:semiHidden/>
    <w:rsid w:val="00AB4846"/>
  </w:style>
  <w:style w:type="paragraph" w:styleId="ac">
    <w:name w:val="footer"/>
    <w:basedOn w:val="a"/>
    <w:link w:val="13"/>
    <w:uiPriority w:val="99"/>
    <w:unhideWhenUsed/>
    <w:rsid w:val="00AB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AB4846"/>
  </w:style>
  <w:style w:type="table" w:customStyle="1" w:styleId="14">
    <w:name w:val="Сетка таблицы1"/>
    <w:basedOn w:val="a1"/>
    <w:next w:val="a3"/>
    <w:locked/>
    <w:rsid w:val="005D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atsk.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FD2E0-EF3A-41F2-8E4F-9EABE608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22</cp:revision>
  <cp:lastPrinted>2020-11-26T01:57:00Z</cp:lastPrinted>
  <dcterms:created xsi:type="dcterms:W3CDTF">2018-07-06T06:13:00Z</dcterms:created>
  <dcterms:modified xsi:type="dcterms:W3CDTF">2021-12-27T08:36:00Z</dcterms:modified>
</cp:coreProperties>
</file>